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A8" w:rsidRDefault="000149E9" w:rsidP="002B0165">
      <w:pPr>
        <w:ind w:left="1440" w:firstLine="720"/>
        <w:rPr>
          <w:rFonts w:ascii="Comic Sans MS" w:hAnsi="Comic Sans MS"/>
          <w:sz w:val="18"/>
        </w:rPr>
      </w:pPr>
      <w:r>
        <w:rPr>
          <w:rFonts w:ascii="Comic Sans MS" w:hAnsi="Comic Sans MS"/>
          <w:sz w:val="24"/>
        </w:rPr>
        <w:t>How A</w:t>
      </w:r>
      <w:r w:rsidR="002B0165">
        <w:rPr>
          <w:rFonts w:ascii="Comic Sans MS" w:hAnsi="Comic Sans MS"/>
          <w:sz w:val="24"/>
        </w:rPr>
        <w:t xml:space="preserve">re </w:t>
      </w:r>
      <w:r>
        <w:rPr>
          <w:rFonts w:ascii="Comic Sans MS" w:hAnsi="Comic Sans MS"/>
          <w:sz w:val="24"/>
        </w:rPr>
        <w:t>You Engaging Students</w:t>
      </w:r>
      <w:r w:rsidR="002B0165">
        <w:rPr>
          <w:rFonts w:ascii="Comic Sans MS" w:hAnsi="Comic Sans MS"/>
          <w:sz w:val="24"/>
        </w:rPr>
        <w:t xml:space="preserve">? Check </w:t>
      </w:r>
      <w:r w:rsidRPr="000149E9">
        <w:rPr>
          <w:rFonts w:ascii="Comic Sans MS" w:hAnsi="Comic Sans MS"/>
          <w:sz w:val="24"/>
          <w:highlight w:val="yellow"/>
        </w:rPr>
        <w:sym w:font="Wingdings" w:char="F0FC"/>
      </w:r>
      <w:r>
        <w:rPr>
          <w:rFonts w:ascii="Comic Sans MS" w:hAnsi="Comic Sans MS"/>
          <w:sz w:val="24"/>
        </w:rPr>
        <w:t xml:space="preserve"> </w:t>
      </w:r>
      <w:proofErr w:type="gramStart"/>
      <w:r w:rsidR="002B0165">
        <w:rPr>
          <w:rFonts w:ascii="Comic Sans MS" w:hAnsi="Comic Sans MS"/>
          <w:sz w:val="24"/>
        </w:rPr>
        <w:t xml:space="preserve">it </w:t>
      </w:r>
      <w:r>
        <w:rPr>
          <w:rFonts w:ascii="Comic Sans MS" w:hAnsi="Comic Sans MS"/>
          <w:sz w:val="24"/>
        </w:rPr>
        <w:t xml:space="preserve"> </w:t>
      </w:r>
      <w:r w:rsidR="002B0165">
        <w:rPr>
          <w:rFonts w:ascii="Comic Sans MS" w:hAnsi="Comic Sans MS"/>
          <w:sz w:val="24"/>
        </w:rPr>
        <w:t>Out</w:t>
      </w:r>
      <w:proofErr w:type="gramEnd"/>
      <w:r w:rsidR="002B0165">
        <w:rPr>
          <w:rFonts w:ascii="Comic Sans MS" w:hAnsi="Comic Sans MS"/>
          <w:sz w:val="24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8"/>
        <w:gridCol w:w="4428"/>
      </w:tblGrid>
      <w:tr w:rsidR="00B458A8">
        <w:tc>
          <w:tcPr>
            <w:tcW w:w="5148" w:type="dxa"/>
          </w:tcPr>
          <w:p w:rsidR="00B458A8" w:rsidRPr="000149E9" w:rsidRDefault="003A2097" w:rsidP="003A2097">
            <w:pPr>
              <w:pStyle w:val="Heading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</w:t>
            </w:r>
            <w:r w:rsidR="00B458A8" w:rsidRPr="000149E9">
              <w:rPr>
                <w:rFonts w:ascii="Arial" w:hAnsi="Arial"/>
                <w:b/>
                <w:sz w:val="18"/>
              </w:rPr>
              <w:t>CONSTRUCTIVIST LEARNING PRACTICES</w:t>
            </w:r>
            <w:r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6"/>
              </w:rPr>
              <w:t xml:space="preserve">                                                                      Brooks &amp; Brooks</w:t>
            </w:r>
            <w:r w:rsidR="000542B1">
              <w:rPr>
                <w:rFonts w:ascii="Arial" w:hAnsi="Arial"/>
                <w:b/>
                <w:sz w:val="18"/>
              </w:rPr>
              <w:br/>
            </w:r>
            <w:r w:rsidR="002E760C" w:rsidRPr="000149E9">
              <w:rPr>
                <w:rFonts w:ascii="Arial" w:hAnsi="Arial"/>
                <w:b/>
                <w:sz w:val="18"/>
              </w:rPr>
              <w:fldChar w:fldCharType="begin"/>
            </w:r>
            <w:r w:rsidR="00B458A8" w:rsidRPr="000149E9">
              <w:rPr>
                <w:rFonts w:ascii="Arial" w:hAnsi="Arial"/>
                <w:b/>
                <w:sz w:val="18"/>
              </w:rPr>
              <w:instrText xml:space="preserve">PRIVATE </w:instrText>
            </w:r>
            <w:r w:rsidR="002E760C" w:rsidRPr="000149E9">
              <w:rPr>
                <w:rFonts w:ascii="Arial" w:hAnsi="Arial"/>
                <w:b/>
                <w:sz w:val="18"/>
              </w:rPr>
              <w:fldChar w:fldCharType="end"/>
            </w:r>
          </w:p>
          <w:p w:rsidR="00B458A8" w:rsidRPr="00075B6B" w:rsidRDefault="00B458A8" w:rsidP="00B458A8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num" w:pos="270"/>
                <w:tab w:val="left" w:pos="720"/>
              </w:tabs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075B6B">
              <w:rPr>
                <w:rFonts w:ascii="Arial" w:hAnsi="Arial" w:cs="Arial"/>
                <w:sz w:val="19"/>
                <w:szCs w:val="19"/>
              </w:rPr>
              <w:t xml:space="preserve">Encourage and accept student autonomy, initiative and </w:t>
            </w:r>
            <w:r w:rsidR="00075B6B" w:rsidRPr="00075B6B">
              <w:rPr>
                <w:rFonts w:ascii="Arial" w:hAnsi="Arial" w:cs="Arial"/>
                <w:sz w:val="19"/>
                <w:szCs w:val="19"/>
              </w:rPr>
              <w:br/>
            </w:r>
            <w:r w:rsidRPr="00075B6B">
              <w:rPr>
                <w:rFonts w:ascii="Arial" w:hAnsi="Arial" w:cs="Arial"/>
                <w:sz w:val="19"/>
                <w:szCs w:val="19"/>
              </w:rPr>
              <w:t>leadership.</w:t>
            </w:r>
          </w:p>
          <w:p w:rsidR="00075B6B" w:rsidRDefault="00B458A8" w:rsidP="00B458A8">
            <w:pPr>
              <w:pStyle w:val="BodyText2"/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r w:rsidRPr="000149E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0149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149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149E9">
              <w:rPr>
                <w:rFonts w:ascii="Arial" w:hAnsi="Arial" w:cs="Arial"/>
                <w:sz w:val="19"/>
                <w:szCs w:val="19"/>
              </w:rPr>
              <w:t xml:space="preserve">Whenever possible, use raw data </w:t>
            </w:r>
            <w:r w:rsidR="000149E9">
              <w:rPr>
                <w:rFonts w:ascii="Arial" w:hAnsi="Arial" w:cs="Arial"/>
                <w:sz w:val="19"/>
                <w:szCs w:val="19"/>
              </w:rPr>
              <w:t>and primary sources</w:t>
            </w:r>
          </w:p>
          <w:p w:rsidR="00B458A8" w:rsidRPr="000149E9" w:rsidRDefault="00075B6B" w:rsidP="00B458A8">
            <w:pPr>
              <w:pStyle w:val="BodyText2"/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="000149E9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gramStart"/>
            <w:r w:rsidR="000149E9">
              <w:rPr>
                <w:rFonts w:ascii="Arial" w:hAnsi="Arial" w:cs="Arial"/>
                <w:sz w:val="19"/>
                <w:szCs w:val="19"/>
              </w:rPr>
              <w:t>along</w:t>
            </w:r>
            <w:proofErr w:type="gramEnd"/>
            <w:r w:rsidR="000149E9">
              <w:rPr>
                <w:rFonts w:ascii="Arial" w:hAnsi="Arial" w:cs="Arial"/>
                <w:sz w:val="19"/>
                <w:szCs w:val="19"/>
              </w:rPr>
              <w:t xml:space="preserve"> with </w:t>
            </w:r>
            <w:r w:rsidR="00B458A8" w:rsidRPr="000149E9">
              <w:rPr>
                <w:rFonts w:ascii="Arial" w:hAnsi="Arial" w:cs="Arial"/>
                <w:sz w:val="19"/>
                <w:szCs w:val="19"/>
              </w:rPr>
              <w:t xml:space="preserve">manipulative, interactive and physical 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br/>
              <w:t xml:space="preserve">      </w:t>
            </w:r>
            <w:r w:rsidR="00B458A8" w:rsidRPr="000149E9">
              <w:rPr>
                <w:rFonts w:ascii="Arial" w:hAnsi="Arial" w:cs="Arial"/>
                <w:sz w:val="19"/>
                <w:szCs w:val="19"/>
              </w:rPr>
              <w:t>materials.</w:t>
            </w:r>
          </w:p>
          <w:p w:rsidR="00B458A8" w:rsidRPr="000149E9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0149E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0149E9">
              <w:rPr>
                <w:rFonts w:ascii="Arial" w:hAnsi="Arial" w:cs="Arial"/>
                <w:sz w:val="19"/>
                <w:szCs w:val="19"/>
              </w:rPr>
              <w:t xml:space="preserve"> When framing tasks, use cognitive terminology like </w:t>
            </w:r>
            <w:r w:rsidR="00075B6B">
              <w:rPr>
                <w:rFonts w:ascii="Arial" w:hAnsi="Arial" w:cs="Arial"/>
                <w:sz w:val="19"/>
                <w:szCs w:val="19"/>
              </w:rPr>
              <w:br/>
              <w:t xml:space="preserve">    </w:t>
            </w:r>
            <w:r w:rsidRPr="000149E9">
              <w:rPr>
                <w:rFonts w:ascii="Arial" w:hAnsi="Arial" w:cs="Arial"/>
                <w:sz w:val="19"/>
                <w:szCs w:val="19"/>
              </w:rPr>
              <w:t>classify, analyze, predict, and so on.</w:t>
            </w:r>
          </w:p>
          <w:p w:rsidR="00B458A8" w:rsidRPr="000149E9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0149E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0149E9">
              <w:rPr>
                <w:rFonts w:ascii="Arial" w:hAnsi="Arial" w:cs="Arial"/>
                <w:sz w:val="19"/>
                <w:szCs w:val="19"/>
              </w:rPr>
              <w:t xml:space="preserve"> Allow student thinking to drive lessons. Shift </w:t>
            </w:r>
            <w:r w:rsidR="00075B6B">
              <w:rPr>
                <w:rFonts w:ascii="Arial" w:hAnsi="Arial" w:cs="Arial"/>
                <w:sz w:val="19"/>
                <w:szCs w:val="19"/>
              </w:rPr>
              <w:br/>
              <w:t xml:space="preserve">     I</w:t>
            </w:r>
            <w:r w:rsidRPr="000149E9">
              <w:rPr>
                <w:rFonts w:ascii="Arial" w:hAnsi="Arial" w:cs="Arial"/>
                <w:sz w:val="19"/>
                <w:szCs w:val="19"/>
              </w:rPr>
              <w:t xml:space="preserve">nstructional strategies of alternative content based on </w:t>
            </w:r>
            <w:r w:rsidR="00075B6B">
              <w:rPr>
                <w:rFonts w:ascii="Arial" w:hAnsi="Arial" w:cs="Arial"/>
                <w:sz w:val="19"/>
                <w:szCs w:val="19"/>
              </w:rPr>
              <w:br/>
              <w:t xml:space="preserve">     </w:t>
            </w:r>
            <w:r w:rsidRPr="000149E9">
              <w:rPr>
                <w:rFonts w:ascii="Arial" w:hAnsi="Arial" w:cs="Arial"/>
                <w:sz w:val="19"/>
                <w:szCs w:val="19"/>
              </w:rPr>
              <w:t>student responses.</w:t>
            </w:r>
          </w:p>
          <w:p w:rsidR="00B458A8" w:rsidRPr="000149E9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0149E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0149E9">
              <w:rPr>
                <w:rFonts w:ascii="Arial" w:hAnsi="Arial" w:cs="Arial"/>
                <w:sz w:val="19"/>
                <w:szCs w:val="19"/>
              </w:rPr>
              <w:t xml:space="preserve"> Ask students for their theories about the concepts </w:t>
            </w:r>
            <w:r w:rsidR="00075B6B">
              <w:rPr>
                <w:rFonts w:ascii="Arial" w:hAnsi="Arial" w:cs="Arial"/>
                <w:sz w:val="19"/>
                <w:szCs w:val="19"/>
              </w:rPr>
              <w:br/>
              <w:t xml:space="preserve">    </w:t>
            </w:r>
            <w:r w:rsidRPr="000149E9">
              <w:rPr>
                <w:rFonts w:ascii="Arial" w:hAnsi="Arial" w:cs="Arial"/>
                <w:sz w:val="19"/>
                <w:szCs w:val="19"/>
              </w:rPr>
              <w:t xml:space="preserve">before sharing the facts or background of these </w:t>
            </w:r>
            <w:r w:rsidR="00075B6B">
              <w:rPr>
                <w:rFonts w:ascii="Arial" w:hAnsi="Arial" w:cs="Arial"/>
                <w:sz w:val="19"/>
                <w:szCs w:val="19"/>
              </w:rPr>
              <w:br/>
              <w:t xml:space="preserve">    </w:t>
            </w:r>
            <w:r w:rsidRPr="000149E9">
              <w:rPr>
                <w:rFonts w:ascii="Arial" w:hAnsi="Arial" w:cs="Arial"/>
                <w:sz w:val="19"/>
                <w:szCs w:val="19"/>
              </w:rPr>
              <w:t>concepts.</w:t>
            </w:r>
          </w:p>
          <w:p w:rsidR="00B458A8" w:rsidRPr="000149E9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0149E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0149E9">
              <w:rPr>
                <w:rFonts w:ascii="Arial" w:hAnsi="Arial" w:cs="Arial"/>
                <w:sz w:val="19"/>
                <w:szCs w:val="19"/>
              </w:rPr>
              <w:t xml:space="preserve"> Encourage students to engage in dialogue both with the</w:t>
            </w:r>
            <w:r w:rsidR="00075B6B">
              <w:rPr>
                <w:rFonts w:ascii="Arial" w:hAnsi="Arial" w:cs="Arial"/>
                <w:sz w:val="19"/>
                <w:szCs w:val="19"/>
              </w:rPr>
              <w:br/>
              <w:t xml:space="preserve">    </w:t>
            </w:r>
            <w:r w:rsidRPr="000149E9">
              <w:rPr>
                <w:rFonts w:ascii="Arial" w:hAnsi="Arial" w:cs="Arial"/>
                <w:sz w:val="19"/>
                <w:szCs w:val="19"/>
              </w:rPr>
              <w:t>teacher and with one another.</w:t>
            </w:r>
          </w:p>
          <w:p w:rsidR="00B458A8" w:rsidRPr="000149E9" w:rsidRDefault="00B458A8" w:rsidP="00B458A8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0149E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0149E9">
              <w:rPr>
                <w:rFonts w:ascii="Arial" w:hAnsi="Arial" w:cs="Arial"/>
                <w:sz w:val="19"/>
                <w:szCs w:val="19"/>
              </w:rPr>
              <w:t xml:space="preserve"> Seek elaboration of students’ initial responses.</w:t>
            </w:r>
          </w:p>
          <w:p w:rsidR="00B458A8" w:rsidRPr="000149E9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0149E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0149E9">
              <w:rPr>
                <w:rFonts w:ascii="Arial" w:hAnsi="Arial" w:cs="Arial"/>
                <w:sz w:val="19"/>
                <w:szCs w:val="19"/>
              </w:rPr>
              <w:t xml:space="preserve"> Pose contradictions to students’ hypotheses (in </w:t>
            </w:r>
            <w:r w:rsidR="00075B6B">
              <w:rPr>
                <w:rFonts w:ascii="Arial" w:hAnsi="Arial" w:cs="Arial"/>
                <w:sz w:val="19"/>
                <w:szCs w:val="19"/>
              </w:rPr>
              <w:br/>
              <w:t xml:space="preserve">    </w:t>
            </w:r>
            <w:r w:rsidRPr="000149E9">
              <w:rPr>
                <w:rFonts w:ascii="Arial" w:hAnsi="Arial" w:cs="Arial"/>
                <w:sz w:val="19"/>
                <w:szCs w:val="19"/>
              </w:rPr>
              <w:t xml:space="preserve">diplomatic ways) and then encourage alternative </w:t>
            </w:r>
            <w:r w:rsidR="00075B6B">
              <w:rPr>
                <w:rFonts w:ascii="Arial" w:hAnsi="Arial" w:cs="Arial"/>
                <w:sz w:val="19"/>
                <w:szCs w:val="19"/>
              </w:rPr>
              <w:br/>
              <w:t xml:space="preserve">    </w:t>
            </w:r>
            <w:r w:rsidRPr="000149E9">
              <w:rPr>
                <w:rFonts w:ascii="Arial" w:hAnsi="Arial" w:cs="Arial"/>
                <w:sz w:val="19"/>
                <w:szCs w:val="19"/>
              </w:rPr>
              <w:t>responses.</w:t>
            </w:r>
          </w:p>
          <w:p w:rsidR="00B458A8" w:rsidRPr="000149E9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0149E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0149E9">
              <w:rPr>
                <w:rFonts w:ascii="Arial" w:hAnsi="Arial" w:cs="Arial"/>
                <w:sz w:val="19"/>
                <w:szCs w:val="19"/>
              </w:rPr>
              <w:t xml:space="preserve"> Encourage student inquiry by asking thoughtful, open-</w:t>
            </w:r>
            <w:r w:rsidR="00075B6B">
              <w:rPr>
                <w:rFonts w:ascii="Arial" w:hAnsi="Arial" w:cs="Arial"/>
                <w:sz w:val="19"/>
                <w:szCs w:val="19"/>
              </w:rPr>
              <w:br/>
              <w:t xml:space="preserve">    </w:t>
            </w:r>
            <w:r w:rsidRPr="000149E9">
              <w:rPr>
                <w:rFonts w:ascii="Arial" w:hAnsi="Arial" w:cs="Arial"/>
                <w:sz w:val="19"/>
                <w:szCs w:val="19"/>
              </w:rPr>
              <w:t xml:space="preserve">ended </w:t>
            </w:r>
            <w:r w:rsidR="000149E9">
              <w:rPr>
                <w:rFonts w:ascii="Arial" w:hAnsi="Arial" w:cs="Arial"/>
                <w:sz w:val="19"/>
                <w:szCs w:val="19"/>
              </w:rPr>
              <w:t>questions and encourage</w:t>
            </w:r>
            <w:r w:rsidRPr="000149E9">
              <w:rPr>
                <w:rFonts w:ascii="Arial" w:hAnsi="Arial" w:cs="Arial"/>
                <w:sz w:val="19"/>
                <w:szCs w:val="19"/>
              </w:rPr>
              <w:t xml:space="preserve"> them to ask questions </w:t>
            </w:r>
            <w:r w:rsidR="00075B6B">
              <w:rPr>
                <w:rFonts w:ascii="Arial" w:hAnsi="Arial" w:cs="Arial"/>
                <w:sz w:val="19"/>
                <w:szCs w:val="19"/>
              </w:rPr>
              <w:br/>
              <w:t xml:space="preserve">    </w:t>
            </w:r>
            <w:r w:rsidRPr="000149E9">
              <w:rPr>
                <w:rFonts w:ascii="Arial" w:hAnsi="Arial" w:cs="Arial"/>
                <w:sz w:val="19"/>
                <w:szCs w:val="19"/>
              </w:rPr>
              <w:t>of others.</w:t>
            </w:r>
          </w:p>
          <w:p w:rsidR="00B458A8" w:rsidRPr="000149E9" w:rsidRDefault="00B458A8" w:rsidP="00B458A8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0149E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0149E9">
              <w:rPr>
                <w:rFonts w:ascii="Arial" w:hAnsi="Arial" w:cs="Arial"/>
                <w:sz w:val="19"/>
                <w:szCs w:val="19"/>
              </w:rPr>
              <w:t xml:space="preserve"> Allow wait time after posing questions.</w:t>
            </w:r>
          </w:p>
          <w:p w:rsidR="00B458A8" w:rsidRPr="000149E9" w:rsidRDefault="00B458A8" w:rsidP="00B458A8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0149E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0149E9">
              <w:rPr>
                <w:rFonts w:ascii="Arial" w:hAnsi="Arial" w:cs="Arial"/>
                <w:sz w:val="19"/>
                <w:szCs w:val="19"/>
              </w:rPr>
              <w:t xml:space="preserve"> Provide time for students to discover relationships and </w:t>
            </w:r>
            <w:r w:rsidR="00075B6B">
              <w:rPr>
                <w:rFonts w:ascii="Arial" w:hAnsi="Arial" w:cs="Arial"/>
                <w:sz w:val="19"/>
                <w:szCs w:val="19"/>
              </w:rPr>
              <w:br/>
              <w:t xml:space="preserve">    </w:t>
            </w:r>
            <w:r w:rsidRPr="000149E9">
              <w:rPr>
                <w:rFonts w:ascii="Arial" w:hAnsi="Arial" w:cs="Arial"/>
                <w:sz w:val="19"/>
                <w:szCs w:val="19"/>
              </w:rPr>
              <w:t xml:space="preserve">to create metaphors about the topics of their learning </w:t>
            </w:r>
            <w:r w:rsidR="00075B6B">
              <w:rPr>
                <w:rFonts w:ascii="Arial" w:hAnsi="Arial" w:cs="Arial"/>
                <w:sz w:val="19"/>
                <w:szCs w:val="19"/>
              </w:rPr>
              <w:br/>
              <w:t xml:space="preserve">    </w:t>
            </w:r>
            <w:r w:rsidRPr="000149E9">
              <w:rPr>
                <w:rFonts w:ascii="Arial" w:hAnsi="Arial" w:cs="Arial"/>
                <w:sz w:val="19"/>
                <w:szCs w:val="19"/>
              </w:rPr>
              <w:t>experiences.</w:t>
            </w:r>
          </w:p>
          <w:p w:rsidR="00B458A8" w:rsidRDefault="00B458A8" w:rsidP="00075B6B">
            <w:pPr>
              <w:tabs>
                <w:tab w:val="left" w:pos="0"/>
                <w:tab w:val="left" w:pos="360"/>
                <w:tab w:val="left" w:pos="720"/>
              </w:tabs>
              <w:suppressAutoHyphens/>
              <w:rPr>
                <w:rFonts w:ascii="Comic Sans MS" w:hAnsi="Comic Sans MS"/>
                <w:b/>
              </w:rPr>
            </w:pPr>
            <w:r w:rsidRPr="000149E9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0149E9">
              <w:rPr>
                <w:rFonts w:ascii="Arial" w:hAnsi="Arial" w:cs="Arial"/>
                <w:sz w:val="19"/>
                <w:szCs w:val="19"/>
              </w:rPr>
              <w:t xml:space="preserve"> Encourage students to reflect on experiences and </w:t>
            </w:r>
            <w:r w:rsidR="00075B6B">
              <w:rPr>
                <w:rFonts w:ascii="Arial" w:hAnsi="Arial" w:cs="Arial"/>
                <w:sz w:val="19"/>
                <w:szCs w:val="19"/>
              </w:rPr>
              <w:br/>
              <w:t xml:space="preserve">    </w:t>
            </w:r>
            <w:r w:rsidRPr="000149E9">
              <w:rPr>
                <w:rFonts w:ascii="Arial" w:hAnsi="Arial" w:cs="Arial"/>
                <w:sz w:val="19"/>
                <w:szCs w:val="19"/>
              </w:rPr>
              <w:t>actions, and then participate in deciding future activities</w:t>
            </w:r>
            <w:r w:rsidR="00075B6B">
              <w:rPr>
                <w:rFonts w:ascii="Arial" w:hAnsi="Arial" w:cs="Arial"/>
                <w:sz w:val="19"/>
                <w:szCs w:val="19"/>
              </w:rPr>
              <w:br/>
              <w:t xml:space="preserve">    </w:t>
            </w:r>
            <w:r w:rsidRPr="000149E9">
              <w:rPr>
                <w:rFonts w:ascii="Arial" w:hAnsi="Arial" w:cs="Arial"/>
                <w:sz w:val="19"/>
                <w:szCs w:val="19"/>
              </w:rPr>
              <w:t>or predicting future</w:t>
            </w:r>
            <w:r w:rsidR="000149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149E9">
              <w:rPr>
                <w:rFonts w:ascii="Arial" w:hAnsi="Arial" w:cs="Arial"/>
                <w:sz w:val="19"/>
                <w:szCs w:val="19"/>
              </w:rPr>
              <w:t>outcomes.</w:t>
            </w:r>
          </w:p>
        </w:tc>
        <w:tc>
          <w:tcPr>
            <w:tcW w:w="4428" w:type="dxa"/>
          </w:tcPr>
          <w:p w:rsidR="00B458A8" w:rsidRDefault="000149E9" w:rsidP="00B458A8">
            <w:pPr>
              <w:pStyle w:val="Heading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HABITS OF 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MIND </w:t>
            </w:r>
            <w:r w:rsidR="003A2097">
              <w:rPr>
                <w:rFonts w:ascii="Arial" w:hAnsi="Arial"/>
                <w:b/>
                <w:sz w:val="18"/>
              </w:rPr>
              <w:t xml:space="preserve"> (</w:t>
            </w:r>
            <w:proofErr w:type="gramEnd"/>
            <w:r w:rsidR="003A2097">
              <w:rPr>
                <w:rFonts w:ascii="Arial" w:hAnsi="Arial"/>
                <w:b/>
                <w:sz w:val="18"/>
              </w:rPr>
              <w:t xml:space="preserve">Costa &amp; </w:t>
            </w:r>
            <w:proofErr w:type="spellStart"/>
            <w:r w:rsidR="003A2097">
              <w:rPr>
                <w:rFonts w:ascii="Arial" w:hAnsi="Arial"/>
                <w:b/>
                <w:sz w:val="18"/>
              </w:rPr>
              <w:t>KKallick</w:t>
            </w:r>
            <w:proofErr w:type="spellEnd"/>
            <w:r>
              <w:rPr>
                <w:rFonts w:ascii="Arial" w:hAnsi="Arial"/>
                <w:b/>
                <w:sz w:val="18"/>
              </w:rPr>
              <w:br/>
            </w:r>
            <w:r w:rsidR="00B458A8" w:rsidRPr="000149E9">
              <w:rPr>
                <w:rFonts w:ascii="Arial" w:hAnsi="Arial"/>
                <w:b/>
                <w:sz w:val="16"/>
              </w:rPr>
              <w:t>CHARACTERISTICS OF INTELLIGENT BEHAVIOR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Persistence</w:t>
            </w:r>
            <w:r>
              <w:t xml:space="preserve"> 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Decreasing impulsivity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Empathic listening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Flexibility in thinking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Meta-cognitive awareness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Checking for accuracy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Questioning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Problem posing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Drawing on past knowledge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Application to new situations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Precision of language and thought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Using all the senses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</w:pPr>
            <w:r>
              <w:rPr>
                <w:rFonts w:ascii="Arial" w:hAnsi="Arial"/>
              </w:rPr>
              <w:t>Ingenuity, originality, insightfulness and creativity</w:t>
            </w:r>
          </w:p>
          <w:p w:rsidR="00B458A8" w:rsidRP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Inquisitiveness, curiosity</w:t>
            </w:r>
          </w:p>
          <w:p w:rsidR="00B458A8" w:rsidRP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Enjoyment of problem solving </w:t>
            </w:r>
          </w:p>
        </w:tc>
      </w:tr>
      <w:tr w:rsidR="00B458A8">
        <w:tc>
          <w:tcPr>
            <w:tcW w:w="5148" w:type="dxa"/>
          </w:tcPr>
          <w:p w:rsidR="00B458A8" w:rsidRDefault="00B458A8" w:rsidP="00B458A8">
            <w:pPr>
              <w:pStyle w:val="Heading2"/>
            </w:pPr>
            <w:r>
              <w:t>SOCIAL AND COMMUNICATION</w:t>
            </w:r>
            <w:r w:rsidR="000149E9">
              <w:t xml:space="preserve"> SKILLS</w:t>
            </w:r>
            <w:r w:rsidR="000542B1">
              <w:br/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Form groups quietly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Sit eyeball to eyeball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Make eye contact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Use each other’s names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Share materials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Follow role assignments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Check for understanding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Offer your help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Ask your group first for help if you don’t understand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Encourage each other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Energize the group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Disagree with the idea—not the person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Use 6” voices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Take turns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Make sure everyone speaks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Wait until speaker is finished before you speak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Respect the opinion of others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Think for yourself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Explore different points of view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Negotiate and or compromise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</w:rPr>
              <w:t>Reach consensus</w:t>
            </w:r>
          </w:p>
        </w:tc>
        <w:tc>
          <w:tcPr>
            <w:tcW w:w="4428" w:type="dxa"/>
          </w:tcPr>
          <w:p w:rsidR="00B458A8" w:rsidRDefault="00B458A8" w:rsidP="00B458A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MULTIPLE WAYS OF KNOWING </w:t>
            </w:r>
            <w:r w:rsidR="000149E9"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t>(</w:t>
            </w:r>
            <w:r w:rsidR="000149E9">
              <w:rPr>
                <w:rFonts w:ascii="Arial" w:hAnsi="Arial"/>
                <w:b/>
                <w:sz w:val="18"/>
              </w:rPr>
              <w:t>Gardner’s Theory of Intelligence</w:t>
            </w:r>
            <w:r>
              <w:rPr>
                <w:rFonts w:ascii="Arial" w:hAnsi="Arial"/>
                <w:b/>
                <w:sz w:val="18"/>
              </w:rPr>
              <w:t>)</w:t>
            </w:r>
            <w:r w:rsidR="000149E9">
              <w:rPr>
                <w:rFonts w:ascii="Arial" w:hAnsi="Arial"/>
                <w:b/>
                <w:sz w:val="18"/>
              </w:rPr>
              <w:br/>
            </w:r>
          </w:p>
          <w:p w:rsidR="00B458A8" w:rsidRDefault="00B458A8" w:rsidP="00B458A8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Verbal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Visual/Spatial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Logical Mathematical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Musical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Intrapersonal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Interpersonal</w:t>
            </w:r>
          </w:p>
          <w:p w:rsidR="00B458A8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Body/Kinesthetic</w:t>
            </w:r>
          </w:p>
          <w:p w:rsidR="00B458A8" w:rsidRPr="000149E9" w:rsidRDefault="00B458A8" w:rsidP="00B458A8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spacing w:line="480" w:lineRule="auto"/>
              <w:rPr>
                <w:rFonts w:ascii="Arial" w:hAnsi="Arial"/>
                <w:sz w:val="16"/>
              </w:rPr>
            </w:pPr>
            <w:r w:rsidRPr="000149E9">
              <w:rPr>
                <w:rFonts w:ascii="Arial" w:hAnsi="Arial"/>
              </w:rPr>
              <w:t>Naturalistic</w:t>
            </w:r>
          </w:p>
          <w:p w:rsidR="00B458A8" w:rsidRDefault="00B458A8" w:rsidP="00B458A8">
            <w:pPr>
              <w:rPr>
                <w:rFonts w:ascii="Arial" w:hAnsi="Arial"/>
                <w:sz w:val="16"/>
              </w:rPr>
            </w:pPr>
          </w:p>
          <w:p w:rsidR="00B458A8" w:rsidRDefault="00B458A8" w:rsidP="00B458A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</w:p>
          <w:p w:rsidR="00B458A8" w:rsidRDefault="00B458A8" w:rsidP="00B458A8">
            <w:pPr>
              <w:pStyle w:val="BodyText"/>
              <w:jc w:val="both"/>
              <w:rPr>
                <w:rFonts w:ascii="Arial" w:hAnsi="Arial"/>
                <w:sz w:val="16"/>
              </w:rPr>
            </w:pPr>
          </w:p>
          <w:p w:rsidR="00B458A8" w:rsidRDefault="00B458A8" w:rsidP="00B458A8">
            <w:pPr>
              <w:rPr>
                <w:rFonts w:ascii="Arial" w:hAnsi="Arial"/>
                <w:b/>
                <w:sz w:val="16"/>
              </w:rPr>
            </w:pPr>
          </w:p>
        </w:tc>
      </w:tr>
    </w:tbl>
    <w:p w:rsidR="005C7E24" w:rsidRPr="000542B1" w:rsidRDefault="00B458A8">
      <w:pPr>
        <w:rPr>
          <w:rFonts w:ascii="Comic Sans MS" w:hAnsi="Comic Sans MS"/>
          <w:sz w:val="16"/>
        </w:rPr>
      </w:pPr>
      <w:r>
        <w:rPr>
          <w:rFonts w:ascii="Comic Sans MS" w:hAnsi="Comic Sans MS"/>
          <w:b/>
          <w:sz w:val="18"/>
        </w:rPr>
        <w:t>*Be prepared to share your selections with your group.</w:t>
      </w:r>
      <w:r w:rsidR="00E95D7A">
        <w:rPr>
          <w:rFonts w:ascii="Comic Sans MS" w:hAnsi="Comic Sans MS"/>
          <w:b/>
          <w:sz w:val="18"/>
        </w:rPr>
        <w:t xml:space="preserve">  </w:t>
      </w:r>
      <w:r w:rsidR="003341E0">
        <w:rPr>
          <w:rFonts w:ascii="Comic Sans MS" w:hAnsi="Comic Sans MS"/>
          <w:b/>
          <w:sz w:val="18"/>
        </w:rPr>
        <w:t xml:space="preserve">                                  </w:t>
      </w:r>
      <w:r>
        <w:rPr>
          <w:rFonts w:ascii="Comic Sans MS" w:hAnsi="Comic Sans MS"/>
          <w:sz w:val="16"/>
        </w:rPr>
        <w:t>©Susan Belgrad, 20</w:t>
      </w:r>
      <w:r w:rsidR="00E95D7A">
        <w:rPr>
          <w:rFonts w:ascii="Comic Sans MS" w:hAnsi="Comic Sans MS"/>
          <w:sz w:val="16"/>
        </w:rPr>
        <w:t>14</w:t>
      </w:r>
    </w:p>
    <w:sectPr w:rsidR="005C7E24" w:rsidRPr="000542B1" w:rsidSect="002E760C">
      <w:pgSz w:w="12240" w:h="15840" w:code="1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T Black"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76EA6"/>
    <w:multiLevelType w:val="singleLevel"/>
    <w:tmpl w:val="3176D4A8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>
    <w:nsid w:val="64FB4115"/>
    <w:multiLevelType w:val="singleLevel"/>
    <w:tmpl w:val="FD28AEC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noPunctuationKerning/>
  <w:characterSpacingControl w:val="doNotCompress"/>
  <w:compat/>
  <w:rsids>
    <w:rsidRoot w:val="00C20AAA"/>
    <w:rsid w:val="000149E9"/>
    <w:rsid w:val="000542B1"/>
    <w:rsid w:val="00075B6B"/>
    <w:rsid w:val="002643AE"/>
    <w:rsid w:val="002B0165"/>
    <w:rsid w:val="002E760C"/>
    <w:rsid w:val="003341E0"/>
    <w:rsid w:val="003A2097"/>
    <w:rsid w:val="005C7E24"/>
    <w:rsid w:val="00611105"/>
    <w:rsid w:val="00714D4B"/>
    <w:rsid w:val="0083568C"/>
    <w:rsid w:val="009C200D"/>
    <w:rsid w:val="00AA2634"/>
    <w:rsid w:val="00B458A8"/>
    <w:rsid w:val="00C20AAA"/>
    <w:rsid w:val="00CE2058"/>
    <w:rsid w:val="00E9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A8"/>
  </w:style>
  <w:style w:type="paragraph" w:styleId="Heading1">
    <w:name w:val="heading 1"/>
    <w:basedOn w:val="Normal"/>
    <w:next w:val="Normal"/>
    <w:qFormat/>
    <w:rsid w:val="00B458A8"/>
    <w:pPr>
      <w:keepNext/>
      <w:jc w:val="center"/>
      <w:outlineLvl w:val="0"/>
    </w:pPr>
    <w:rPr>
      <w:rFonts w:ascii="Arial MT Black" w:hAnsi="Arial MT Black"/>
      <w:sz w:val="28"/>
    </w:rPr>
  </w:style>
  <w:style w:type="paragraph" w:styleId="Heading2">
    <w:name w:val="heading 2"/>
    <w:basedOn w:val="Normal"/>
    <w:next w:val="Normal"/>
    <w:qFormat/>
    <w:rsid w:val="00B458A8"/>
    <w:pPr>
      <w:keepNext/>
      <w:jc w:val="center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58A8"/>
    <w:pPr>
      <w:tabs>
        <w:tab w:val="left" w:pos="0"/>
        <w:tab w:val="left" w:pos="360"/>
        <w:tab w:val="left" w:pos="720"/>
      </w:tabs>
      <w:suppressAutoHyphens/>
      <w:spacing w:line="360" w:lineRule="auto"/>
    </w:pPr>
    <w:rPr>
      <w:sz w:val="18"/>
    </w:rPr>
  </w:style>
  <w:style w:type="paragraph" w:styleId="BodyText">
    <w:name w:val="Body Text"/>
    <w:basedOn w:val="Normal"/>
    <w:rsid w:val="00B458A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7920A-C410-489E-ADDB-95D61EEC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Morning MISS TOLIVER</vt:lpstr>
    </vt:vector>
  </TitlesOfParts>
  <Company>CSUN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Morning MISS TOLIVER</dc:title>
  <dc:creator>College of Education</dc:creator>
  <cp:lastModifiedBy>Susan</cp:lastModifiedBy>
  <cp:revision>2</cp:revision>
  <cp:lastPrinted>2014-11-05T20:17:00Z</cp:lastPrinted>
  <dcterms:created xsi:type="dcterms:W3CDTF">2016-05-01T21:56:00Z</dcterms:created>
  <dcterms:modified xsi:type="dcterms:W3CDTF">2016-05-01T21:56:00Z</dcterms:modified>
</cp:coreProperties>
</file>